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034be35a1546f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SIKTE ANALYSE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SIKTE ANALYSE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76fbd60e29b4deb"/>
      <w:footerReference xmlns:r="http://schemas.openxmlformats.org/officeDocument/2006/relationships" w:type="default" r:id="Rf917a663572b4c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SIKTE ANALYSE AS   ·   Org.nr 929 366 387   ·   c/o Bjørn Bruland, Buflåtveien 9   ·   4018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SIKTE ANALYSE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6fbd60e29b4deb" /><Relationship Type="http://schemas.openxmlformats.org/officeDocument/2006/relationships/footer" Target="/word/footer1.xml" Id="Rf917a663572b4c7d" /></Relationships>
</file>